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1E" w:rsidRPr="002D671E" w:rsidRDefault="002D671E" w:rsidP="002D671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Доступная среда (доступность) – что это?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Доступность объектов и услуг – это возможность посещения мест, зданий и помещений, возможность получения услуг – это возможность пользования приспособлениями для всех: и для обычных людей, и для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маломобильных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граждан, в том числе инвалидов разных категорий.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Главная задача доступной среды - обеспечить равенство и удобство всем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Безбарьерная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доступная среда – социальная инфраструктура, построенная таким образом, чтобы каждый человек мог в полной мере получать все услуги и пользоваться всеми благами, независимо от своих физических возможностей.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Маломобильные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граждане, а также инвалиды всех категорий должны иметь такой же доступ ко всей инфраструктуре, как и люди, не имеющие какие-либо физические ограничения.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При организации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среды необходимо проследить, чтобы все значимые объекты, продукты и услуги были без каких-либо ограничений доступны всем гражданам, нуждающимся в особых условиях: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дети в возрасте до 7 лет;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мамы с детьми в колясках;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женщины на поздних сроках беременности;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пожилые люди;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люди, перемещающиеся при помощи костылей или ходунков;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инвалиды в креслах-колясках;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люди, возможности которых ограничены временно (переломы и другие серьезные травмы);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инвалиды с частичной или полной потерей зрения или слуха;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люди со сниженными когнитивными и ментальными способностями.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Доступность объекта включает три ключевых аспекта: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Архитектурную доступность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Данное понятие подразумевает, что организация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среды производится так, чтобы для всех граждан полной доступностью обладали следующие зоны объекта: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вход и прилегающая территория;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все пути перемещения внутри объекта, а также пути эвакуации;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функциональные зоны (места, где проводятся целевые мероприятия);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зоны обслуживания (кассы, гардеробные и прочее);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санитарные и служебные помещения;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• медпункты.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Информационную доступность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В понятие информационной доступности входят: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средства навигации и ориентирования;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бумажные источники информации;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информационные материалы в интернете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• 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о всем трем составляющим предоставляются требования.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Рассмотрим каждую из них, а также требования к ним подробнее.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навигации и ориентирования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Правильно организованная универсальная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безбарьерная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среда подразумевает, что каждому посетителю, независимо от физических возможностей, должно быть гарантировано получение информации, важной при посещении данного объекта. Для этого используются визуальные, звуковые или тактильные носители информации.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Систему доступного информирования можно назвать эффективной, если посетители с нарушениями зрения или слуха могут без существенных ограничений пользоваться всеми предоставляемыми услугам, а также без труда ориентироваться в пространстве, не прибегая к помощи окружающих.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Доступная система ориентирования должна обеспечивать: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возможность доступа к необходимой информации в любой момент;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своевременное информирование в экстренных случаях;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однозначное восприятие информации посетителями.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Чтобы обеспечить максимальную простоту восприятия информации, необходимо использовать единую систему знаков и символов в пределах доступного объекта. Создание универсальной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среды проводится с соблюдением международных стандартов, чтобы лицам с ограниченными возможностями было проще ориентироваться. Важно, чтобы информационные и навигационные знаки позволяли людям с инвалидностью быстро находить такие объекты как: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 • парковочные места;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вход и выход;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зоны посадки в транспорт и высадки из него;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пункты сервисного обслуживания (справочные, кассы, приемная администратора);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лифты и подъемники;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• служебные помещения;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пути перемещения и эвакуации.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Печатные информационные материалы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В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се печатные материалы с описанием местности, а также особенностей предоставляемых услуг должны подчиняться стандартам, регламентирующим такие характеристики текста как шрифт, цвет, размер, контрастность и прочее. Для лиц с ослабленным зрением предусмотрены дополнительные форматы подачи текстового материала, дублирующие или заменяющие основные надписи: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Шрифт Брайля;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Large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Print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Easy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Read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Доступные Интернет-ресурсы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Современный интернет предоставляет новые механизмы для взаимодействия с пользователями, имеющими ограничения разной природы. Специальные устройства с альтернативными методами ввода и вывода данных обеспечивают формирование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среды и для пользователей сети Интернет. Однако и сами сайты необходимо адаптировать для максимально простого восприятия широкой аудиторией. Детальные требования к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веб-страницам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для посетителей с частичной потерей зрения прописаны в стандарте ГОСТ 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52872-2007.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Ключевые требования к сайтам для слабовидящих: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логичная и наглядная навигация;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структура таблиц должна быть максимально простой (без глубокой вложенности), чтобы доступ к каждой ячейке можно было получать последовательно;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по возможности следует отказаться от вложенных файлов, для открытия которых требуется дополнительный софт;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недопустимо использовать графический код подтверждения (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капчу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изображения и гиперссылки должны иметь текстовое пояснение (чтобы его смог озвучить голосовой ассистент смартфона или другого устройства);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контрастность, четкие шрифты без лишних засечек;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возможность изменения размера шрифта.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Графические элементы, присутствующие на странице, можно сопровождать не только текстовыми пояснениями, но и небольшими аудиозаписями, максимально 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точно описывающими изображение, график или другой элемент. Для людей с нарушениями слуха все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аудиофайлы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и видеоролики следует сопровождать субтитрами или давать ссылку на скачивание полной текстовой расшифровки файла. А при помощи формата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Easy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Read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можно облегчить восприятие информации для людей с когнитивными и ментальными нарушениями разной степени.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Доступность услуг</w:t>
      </w:r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Основные нормативно-правовые акты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2D671E">
          <w:rPr>
            <w:rFonts w:ascii="Arial" w:eastAsia="Times New Roman" w:hAnsi="Arial" w:cs="Arial"/>
            <w:color w:val="FFFFFF"/>
            <w:sz w:val="24"/>
            <w:szCs w:val="24"/>
            <w:lang w:eastAsia="ru-RU"/>
          </w:rPr>
          <w:t>Доступная среда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Ранняя помощь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Образование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proofErr w:type="spellStart"/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Соцобслуживание</w:t>
        </w:r>
        <w:proofErr w:type="spellEnd"/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 xml:space="preserve"> и сопровождение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Реабилитация и СКЛ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МСЭ и ТСР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Здравоохранение и паллиатив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Здравоохранение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Паллиатив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Сопровождаемое проживание 18+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Сопровождаемая занятость и трудовая деятельность 18+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Специфика нозологий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РАС</w:t>
        </w:r>
      </w:hyperlink>
    </w:p>
    <w:p w:rsidR="002D671E" w:rsidRPr="002D671E" w:rsidRDefault="002D671E" w:rsidP="002D671E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2D671E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Лучшие региональные практики</w:t>
        </w:r>
      </w:hyperlink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Данное понятие состоит из трех основных элементов: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Доступность зоны, в которой предоставляются услуги. Сюда входят: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физическая доступность объектов социальной инфраструктуры (ОСИ);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доступность средств, обеспечивающих навигацию и ориентирование на ОСИ.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Доступность средств, информирующих </w:t>
      </w:r>
      <w:proofErr w:type="gramStart"/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</w:t>
      </w:r>
      <w:proofErr w:type="gramEnd"/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наличии и особенностях услуг. В этом пункте подразумеваются следующие аспекты: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наличие </w:t>
      </w:r>
      <w:proofErr w:type="spell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веб-сайта</w:t>
      </w:r>
      <w:proofErr w:type="spell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наличие информации об услугах для инвалидов с детальным описанием по категориям;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транспортная доступность;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маршруты движения с разметкой зон, адаптированных для инвалидов с разными категориями.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Также этот пун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кт вкл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ючает наличие средств для получения информации людьми с различными ограничениями восприятия непосредственно при оказании услуг.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Качество управления рабочими процессами на ОСИ - здесь оцениваются такие аспекты как: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качество обслуживания потребителей;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чистота самого объекта и прилегающего участка;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состояние оборудования;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компетентность персонала;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- наличие внутреннего мониторинга качества.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Принципы универсального дизайна 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• Равенство и удобство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В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>оспользоваться услугой или продуктом может каждый человек, вне зависимости от физических возможностей, а также наличия различных ограничений.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• Гибкость использования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Следует учитывать все потенциальные предпочтения разных людей, зависящие от их возможностей и способностей.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• Интуитивно понятный дизайн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Современные принципы универсального дизайна подразумевают, что любой пользователь может разобраться, как воспользоваться продуктом или услугой, даже не имея соответствующего опыта и не зная языка для прочтения инструкции.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• Простота восприятия информации 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Независимо от текущей степени концентрации пользователя и других особенностей его восприятия, всю необходимую информацию он должен получать в максимально доступной форме.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• Минимизация риска ошибок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Продукт не должен представлять опасности, даже будучи </w:t>
      </w:r>
      <w:proofErr w:type="gramStart"/>
      <w:r w:rsidRPr="002D671E">
        <w:rPr>
          <w:rFonts w:ascii="Arial" w:eastAsia="Times New Roman" w:hAnsi="Arial" w:cs="Arial"/>
          <w:sz w:val="24"/>
          <w:szCs w:val="24"/>
          <w:lang w:eastAsia="ru-RU"/>
        </w:rPr>
        <w:t>использованным</w:t>
      </w:r>
      <w:proofErr w:type="gramEnd"/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 неправильно или не по назначению.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• Минимум физических усилий</w:t>
      </w:r>
    </w:p>
    <w:p w:rsidR="002D671E" w:rsidRPr="002D671E" w:rsidRDefault="002D671E" w:rsidP="002D671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D671E">
        <w:rPr>
          <w:rFonts w:ascii="Arial" w:eastAsia="Times New Roman" w:hAnsi="Arial" w:cs="Arial"/>
          <w:sz w:val="24"/>
          <w:szCs w:val="24"/>
          <w:lang w:eastAsia="ru-RU"/>
        </w:rPr>
        <w:t xml:space="preserve">Каждый человек, независимо от своего физического состояния должен иметь возможность воспользоваться продуктом или услугой, не прикладывая излишних 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физических усилий.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Концепция универсального дизайна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Главная задача универсального дизайна – сделать окружающий мир приспособленным для максимально удобного проживания всех людей, независимо от их физических возможностей. Достижения современной медицины позволили существенно повысить выживаемость людей после серьезных травм, и каждый случай инвалидности при этом индивидуален.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В разных случаях это могут быть такие ограничения как: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снижение амплитуды и скорости движений;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ограничения восприятия (слух, зрение);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осложнение коммуникаций (расстройства речевого аппарата);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полная невозможность выполнять определенные действия;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 • снижение ментальных и когнитивных способностей.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Универсальный дизайн для инвалидов подразумевает адаптацию для всех людей с ограниченными возможностями, без привязки к конкретной категории. Любой человек должен иметь возможность полноценно воспользоваться предметом, независимо от того, какие конкретно ограничения у него присутствуют.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Чтобы соответствовать этой концепции, дизайн должен быть предельно простым. Независимо от интеллектуальных способностей, а также степени сосредоточенности пользователь должен понимать, как воспользоваться предметом, даже не имея опыта его использования. Важно, чтобы для использования было достаточно незначительного усилия, требуемое движение имело минимальную амплитуду, а также был исключен риск ошибки из-за неверного движения.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  <w:t>В настоящее время теоретические основы универсального дизайна активно развиваются в связи с повышенным интересом мирового сообщества к данной проблеме. Однако даже существующих на данный момент наработок достаточно для создания хотя бы в ограниченном пространстве такой среды, в которой могли бы комфортно себя чувствовать любые люди, независимо от возраста и имеющихся проблем со здоровьем.</w:t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D671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br/>
      </w:r>
    </w:p>
    <w:p w:rsidR="00B9276D" w:rsidRDefault="00B9276D"/>
    <w:sectPr w:rsidR="00B9276D" w:rsidSect="00B9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B3265"/>
    <w:multiLevelType w:val="multilevel"/>
    <w:tmpl w:val="347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71E"/>
    <w:rsid w:val="002D671E"/>
    <w:rsid w:val="00B9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tptsans16">
    <w:name w:val="se__tptsans16"/>
    <w:basedOn w:val="a0"/>
    <w:rsid w:val="002D671E"/>
  </w:style>
  <w:style w:type="character" w:customStyle="1" w:styleId="setekstptsans">
    <w:name w:val="se__tekstptsans"/>
    <w:basedOn w:val="a0"/>
    <w:rsid w:val="002D671E"/>
  </w:style>
  <w:style w:type="character" w:styleId="a4">
    <w:name w:val="Hyperlink"/>
    <w:basedOn w:val="a0"/>
    <w:uiPriority w:val="99"/>
    <w:semiHidden/>
    <w:unhideWhenUsed/>
    <w:rsid w:val="002D671E"/>
    <w:rPr>
      <w:color w:val="0000FF"/>
      <w:u w:val="single"/>
    </w:rPr>
  </w:style>
  <w:style w:type="character" w:customStyle="1" w:styleId="setptsans16ssilki">
    <w:name w:val="se__tptsans16ssilki"/>
    <w:basedOn w:val="a0"/>
    <w:rsid w:val="002D6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di.org/content/karta_interesov_vordi/obrazovanie" TargetMode="External"/><Relationship Id="rId13" Type="http://schemas.openxmlformats.org/officeDocument/2006/relationships/hyperlink" Target="http://vordi.org/content/karta_interesov_vordi/zdravoohranenie" TargetMode="External"/><Relationship Id="rId18" Type="http://schemas.openxmlformats.org/officeDocument/2006/relationships/hyperlink" Target="http://vordi.org/content/karta_interesov_vordi/ra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ordi.org/content/karta_interesov_vordi/rannyaya_pomosch" TargetMode="External"/><Relationship Id="rId12" Type="http://schemas.openxmlformats.org/officeDocument/2006/relationships/hyperlink" Target="http://vordi.org/content/karta_interesov_vordi/zdravoohranenie_i_palliativ" TargetMode="External"/><Relationship Id="rId17" Type="http://schemas.openxmlformats.org/officeDocument/2006/relationships/hyperlink" Target="http://vordi.org/content/karta_interesov_vordi/specifika_nozologiy" TargetMode="External"/><Relationship Id="rId2" Type="http://schemas.openxmlformats.org/officeDocument/2006/relationships/styles" Target="styles.xml"/><Relationship Id="rId16" Type="http://schemas.openxmlformats.org/officeDocument/2006/relationships/hyperlink" Target="http://vordi.org/content/karta_interesov_vordi/soprovozhdaemaya_zanyatost_i_trudovaya_deyatelnost_1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ordi.org/content/karta_interesov_vordi/dostupnaya_sreda" TargetMode="External"/><Relationship Id="rId11" Type="http://schemas.openxmlformats.org/officeDocument/2006/relationships/hyperlink" Target="http://vordi.org/content/karta_interesov_vordi/mse_i_tsr" TargetMode="External"/><Relationship Id="rId5" Type="http://schemas.openxmlformats.org/officeDocument/2006/relationships/hyperlink" Target="http://vordi.org/content/karta_interesov_vordi/osnovnie_normativno_pravovie_akti" TargetMode="External"/><Relationship Id="rId15" Type="http://schemas.openxmlformats.org/officeDocument/2006/relationships/hyperlink" Target="http://vordi.org/content/karta_interesov_vordi/soprovozhdaemoe_prozhivanie_18" TargetMode="External"/><Relationship Id="rId10" Type="http://schemas.openxmlformats.org/officeDocument/2006/relationships/hyperlink" Target="http://vordi.org/content/karta_interesov_vordi/reabilitaciya_i_skl" TargetMode="External"/><Relationship Id="rId19" Type="http://schemas.openxmlformats.org/officeDocument/2006/relationships/hyperlink" Target="http://vordi.org/content/karta_interesov_vordi/luchshie_regionalnie_prakt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rdi.org/content/karta_interesov_vordi/soc__obsluzhivanie__i_soprovozhdenie" TargetMode="External"/><Relationship Id="rId14" Type="http://schemas.openxmlformats.org/officeDocument/2006/relationships/hyperlink" Target="http://vordi.org/content/karta_interesov_vordi/palliat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</Words>
  <Characters>9691</Characters>
  <Application>Microsoft Office Word</Application>
  <DocSecurity>0</DocSecurity>
  <Lines>80</Lines>
  <Paragraphs>22</Paragraphs>
  <ScaleCrop>false</ScaleCrop>
  <Company>Microsoft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2019-04-05T12:56:00Z</dcterms:created>
  <dcterms:modified xsi:type="dcterms:W3CDTF">2019-04-05T12:58:00Z</dcterms:modified>
</cp:coreProperties>
</file>